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99B8" w14:textId="77777777" w:rsidR="008F7036" w:rsidRDefault="008F7036" w:rsidP="008F7036">
      <w:pPr>
        <w:tabs>
          <w:tab w:val="left" w:pos="210"/>
          <w:tab w:val="center" w:pos="4320"/>
        </w:tabs>
        <w:rPr>
          <w:b/>
          <w:sz w:val="28"/>
        </w:rPr>
      </w:pPr>
      <w:r>
        <w:rPr>
          <w:b/>
          <w:i/>
          <w:noProof/>
          <w:sz w:val="22"/>
        </w:rPr>
        <w:drawing>
          <wp:anchor distT="0" distB="0" distL="114300" distR="114300" simplePos="0" relativeHeight="251660288" behindDoc="0" locked="0" layoutInCell="1" allowOverlap="1" wp14:anchorId="2B40B9CE" wp14:editId="6D24E5BB">
            <wp:simplePos x="0" y="0"/>
            <wp:positionH relativeFrom="column">
              <wp:posOffset>-92075</wp:posOffset>
            </wp:positionH>
            <wp:positionV relativeFrom="paragraph">
              <wp:posOffset>4445</wp:posOffset>
            </wp:positionV>
            <wp:extent cx="971550" cy="650240"/>
            <wp:effectExtent l="0" t="0" r="0" b="0"/>
            <wp:wrapSquare wrapText="bothSides"/>
            <wp:docPr id="1026" name="Picture 3" descr="C:\Users\BWI Procurement\Pictures\2015-02-18 BWI LOGO\BWI LOGO 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cstate="print"/>
                    <a:srcRect/>
                    <a:stretch/>
                  </pic:blipFill>
                  <pic:spPr>
                    <a:xfrm>
                      <a:off x="0" y="0"/>
                      <a:ext cx="971550" cy="650240"/>
                    </a:xfrm>
                    <a:prstGeom prst="rect">
                      <a:avLst/>
                    </a:prstGeom>
                    <a:ln>
                      <a:noFill/>
                    </a:ln>
                  </pic:spPr>
                </pic:pic>
              </a:graphicData>
            </a:graphic>
            <wp14:sizeRelH relativeFrom="margin">
              <wp14:pctWidth>0</wp14:pctWidth>
            </wp14:sizeRelH>
            <wp14:sizeRelV relativeFrom="margin">
              <wp14:pctHeight>0</wp14:pctHeight>
            </wp14:sizeRelV>
          </wp:anchor>
        </w:drawing>
      </w:r>
      <w:r>
        <w:rPr>
          <w:b/>
          <w:i/>
          <w:noProof/>
          <w:sz w:val="22"/>
        </w:rPr>
        <w:drawing>
          <wp:anchor distT="0" distB="0" distL="114300" distR="114300" simplePos="0" relativeHeight="251659264" behindDoc="0" locked="0" layoutInCell="1" allowOverlap="1" wp14:anchorId="3B8E253B" wp14:editId="57370A4B">
            <wp:simplePos x="0" y="0"/>
            <wp:positionH relativeFrom="margin">
              <wp:posOffset>4897120</wp:posOffset>
            </wp:positionH>
            <wp:positionV relativeFrom="paragraph">
              <wp:posOffset>4445</wp:posOffset>
            </wp:positionV>
            <wp:extent cx="979170" cy="669290"/>
            <wp:effectExtent l="0" t="0" r="0" b="0"/>
            <wp:wrapSquare wrapText="bothSides"/>
            <wp:docPr id="1027" name="Picture 4" descr="C:\Users\BWI Procurement\Pictures\2015-02-18 BWI LOGO\BWI LOGO 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cstate="print"/>
                    <a:srcRect/>
                    <a:stretch/>
                  </pic:blipFill>
                  <pic:spPr>
                    <a:xfrm>
                      <a:off x="0" y="0"/>
                      <a:ext cx="979170" cy="669290"/>
                    </a:xfrm>
                    <a:prstGeom prst="rect">
                      <a:avLst/>
                    </a:prstGeom>
                    <a:ln>
                      <a:noFill/>
                    </a:ln>
                  </pic:spPr>
                </pic:pic>
              </a:graphicData>
            </a:graphic>
            <wp14:sizeRelH relativeFrom="margin">
              <wp14:pctWidth>0</wp14:pctWidth>
            </wp14:sizeRelH>
            <wp14:sizeRelV relativeFrom="margin">
              <wp14:pctHeight>0</wp14:pctHeight>
            </wp14:sizeRelV>
          </wp:anchor>
        </w:drawing>
      </w:r>
      <w:r>
        <w:rPr>
          <w:b/>
          <w:sz w:val="22"/>
        </w:rPr>
        <w:t xml:space="preserve">                     </w:t>
      </w:r>
      <w:r>
        <w:rPr>
          <w:b/>
          <w:sz w:val="28"/>
        </w:rPr>
        <w:t>Booker Washington Institute (BWI)</w:t>
      </w:r>
    </w:p>
    <w:p w14:paraId="66D12845" w14:textId="77777777" w:rsidR="008F7036" w:rsidRDefault="008F7036" w:rsidP="008F7036">
      <w:pPr>
        <w:tabs>
          <w:tab w:val="left" w:pos="210"/>
          <w:tab w:val="center" w:pos="4320"/>
        </w:tabs>
        <w:ind w:left="510" w:firstLine="2370"/>
        <w:rPr>
          <w:b/>
          <w:sz w:val="22"/>
        </w:rPr>
      </w:pPr>
      <w:r>
        <w:rPr>
          <w:b/>
          <w:sz w:val="22"/>
        </w:rPr>
        <w:t>Invitation for Bids</w:t>
      </w:r>
    </w:p>
    <w:p w14:paraId="0102C5A6" w14:textId="77777777" w:rsidR="008F7036" w:rsidRDefault="008F7036" w:rsidP="008F7036">
      <w:pPr>
        <w:tabs>
          <w:tab w:val="left" w:pos="577"/>
          <w:tab w:val="center" w:pos="2937"/>
        </w:tabs>
        <w:jc w:val="center"/>
        <w:rPr>
          <w:sz w:val="22"/>
        </w:rPr>
      </w:pPr>
      <w:r>
        <w:rPr>
          <w:sz w:val="22"/>
        </w:rPr>
        <w:t xml:space="preserve">            Procurement of Goods</w:t>
      </w:r>
    </w:p>
    <w:p w14:paraId="626517F7" w14:textId="77777777" w:rsidR="008F7036" w:rsidRDefault="008F7036" w:rsidP="008F7036">
      <w:pPr>
        <w:ind w:left="2160" w:firstLine="720"/>
        <w:rPr>
          <w:sz w:val="22"/>
        </w:rPr>
      </w:pPr>
      <w:r>
        <w:rPr>
          <w:sz w:val="22"/>
        </w:rPr>
        <w:t xml:space="preserve">                  (Supply of Solar Plant)</w:t>
      </w:r>
    </w:p>
    <w:p w14:paraId="5B555471" w14:textId="77777777" w:rsidR="008F7036" w:rsidRDefault="008F7036" w:rsidP="008F7036">
      <w:pPr>
        <w:ind w:left="2160" w:firstLine="720"/>
        <w:rPr>
          <w:b/>
          <w:sz w:val="22"/>
        </w:rPr>
      </w:pPr>
      <w:r>
        <w:rPr>
          <w:sz w:val="22"/>
        </w:rPr>
        <w:t xml:space="preserve">               </w:t>
      </w:r>
      <w:r>
        <w:rPr>
          <w:b/>
          <w:sz w:val="22"/>
        </w:rPr>
        <w:t>IFB No. BWI/NCB/PSIP/001/26</w:t>
      </w:r>
    </w:p>
    <w:p w14:paraId="73956610" w14:textId="77777777" w:rsidR="008F7036" w:rsidRDefault="008F7036" w:rsidP="008F7036">
      <w:pPr>
        <w:ind w:left="2160" w:firstLine="720"/>
        <w:rPr>
          <w:b/>
          <w:sz w:val="22"/>
        </w:rPr>
      </w:pPr>
    </w:p>
    <w:p w14:paraId="45796D0C" w14:textId="77777777" w:rsidR="008F7036" w:rsidRDefault="008F7036" w:rsidP="008F7036">
      <w:pPr>
        <w:pStyle w:val="ListParagraph"/>
        <w:numPr>
          <w:ilvl w:val="0"/>
          <w:numId w:val="1"/>
        </w:numPr>
        <w:jc w:val="both"/>
        <w:rPr>
          <w:vanish/>
          <w:sz w:val="18"/>
          <w:szCs w:val="19"/>
        </w:rPr>
      </w:pPr>
      <w:r>
        <w:rPr>
          <w:sz w:val="22"/>
        </w:rPr>
        <w:t xml:space="preserve">Booker Washington Institute has received budgetary allotment from the Government of Liberia for FY 2026 National Budget and </w:t>
      </w:r>
      <w:r>
        <w:rPr>
          <w:iCs/>
          <w:sz w:val="22"/>
        </w:rPr>
        <w:t>intends</w:t>
      </w:r>
      <w:r>
        <w:rPr>
          <w:sz w:val="22"/>
        </w:rPr>
        <w:t xml:space="preserve"> to apply </w:t>
      </w:r>
    </w:p>
    <w:p w14:paraId="5E593B4D" w14:textId="77777777" w:rsidR="008F7036" w:rsidRDefault="008F7036" w:rsidP="008F7036">
      <w:pPr>
        <w:ind w:left="360" w:hanging="360"/>
        <w:jc w:val="both"/>
        <w:rPr>
          <w:sz w:val="22"/>
        </w:rPr>
      </w:pPr>
      <w:r>
        <w:rPr>
          <w:sz w:val="22"/>
        </w:rPr>
        <w:t>portion of it towards the procurement of Solar Plant.</w:t>
      </w:r>
    </w:p>
    <w:p w14:paraId="2044DFED" w14:textId="77777777" w:rsidR="008F7036" w:rsidRDefault="008F7036" w:rsidP="008F7036">
      <w:pPr>
        <w:ind w:left="360" w:hanging="360"/>
        <w:jc w:val="both"/>
        <w:rPr>
          <w:sz w:val="22"/>
        </w:rPr>
      </w:pPr>
    </w:p>
    <w:p w14:paraId="0D4F509B" w14:textId="77777777" w:rsidR="008F7036" w:rsidRDefault="008F7036" w:rsidP="008F7036">
      <w:pPr>
        <w:pStyle w:val="ListParagraph"/>
        <w:numPr>
          <w:ilvl w:val="0"/>
          <w:numId w:val="1"/>
        </w:numPr>
        <w:jc w:val="both"/>
        <w:rPr>
          <w:sz w:val="22"/>
        </w:rPr>
      </w:pPr>
      <w:r>
        <w:rPr>
          <w:sz w:val="22"/>
        </w:rPr>
        <w:t>Booker Washington Institute now invites eligible bidders to submit sealed bids for the supply of the aforementioned Solar Plant.</w:t>
      </w:r>
    </w:p>
    <w:p w14:paraId="36D4050E" w14:textId="77777777" w:rsidR="008F7036" w:rsidRDefault="008F7036" w:rsidP="008F7036">
      <w:pPr>
        <w:pStyle w:val="ListParagraph"/>
        <w:jc w:val="both"/>
        <w:rPr>
          <w:sz w:val="22"/>
        </w:rPr>
      </w:pPr>
    </w:p>
    <w:p w14:paraId="7ED2AD25" w14:textId="77777777" w:rsidR="008F7036" w:rsidRDefault="008F7036" w:rsidP="008F7036">
      <w:pPr>
        <w:numPr>
          <w:ilvl w:val="0"/>
          <w:numId w:val="1"/>
        </w:numPr>
        <w:jc w:val="both"/>
        <w:rPr>
          <w:sz w:val="22"/>
        </w:rPr>
      </w:pPr>
      <w:r>
        <w:rPr>
          <w:sz w:val="22"/>
        </w:rPr>
        <w:t>Bidding will be conducted through the National Competitive Bidding (NCB) process as specified in the Amended and Restated Public Procurement and Concession Act of 2010 and is open to all eligible and qualified bidders.</w:t>
      </w:r>
    </w:p>
    <w:tbl>
      <w:tblPr>
        <w:tblStyle w:val="TableGrid"/>
        <w:tblW w:w="8995" w:type="dxa"/>
        <w:tblInd w:w="360" w:type="dxa"/>
        <w:tblLook w:val="04A0" w:firstRow="1" w:lastRow="0" w:firstColumn="1" w:lastColumn="0" w:noHBand="0" w:noVBand="1"/>
      </w:tblPr>
      <w:tblGrid>
        <w:gridCol w:w="570"/>
        <w:gridCol w:w="3295"/>
        <w:gridCol w:w="1710"/>
        <w:gridCol w:w="1260"/>
        <w:gridCol w:w="2160"/>
      </w:tblGrid>
      <w:tr w:rsidR="008F7036" w14:paraId="5BA38A60" w14:textId="77777777" w:rsidTr="001672B4">
        <w:tc>
          <w:tcPr>
            <w:tcW w:w="570" w:type="dxa"/>
          </w:tcPr>
          <w:p w14:paraId="73495415" w14:textId="77777777" w:rsidR="008F7036" w:rsidRDefault="008F7036" w:rsidP="001672B4">
            <w:pPr>
              <w:jc w:val="center"/>
              <w:rPr>
                <w:sz w:val="22"/>
              </w:rPr>
            </w:pPr>
            <w:r>
              <w:rPr>
                <w:sz w:val="22"/>
              </w:rPr>
              <w:t>No</w:t>
            </w:r>
          </w:p>
        </w:tc>
        <w:tc>
          <w:tcPr>
            <w:tcW w:w="3295" w:type="dxa"/>
          </w:tcPr>
          <w:p w14:paraId="5F2B9C58" w14:textId="77777777" w:rsidR="008F7036" w:rsidRDefault="008F7036" w:rsidP="001672B4">
            <w:pPr>
              <w:jc w:val="center"/>
              <w:rPr>
                <w:sz w:val="22"/>
              </w:rPr>
            </w:pPr>
            <w:r>
              <w:rPr>
                <w:sz w:val="22"/>
              </w:rPr>
              <w:t>Item</w:t>
            </w:r>
          </w:p>
        </w:tc>
        <w:tc>
          <w:tcPr>
            <w:tcW w:w="1710" w:type="dxa"/>
          </w:tcPr>
          <w:p w14:paraId="2719B968" w14:textId="77777777" w:rsidR="008F7036" w:rsidRDefault="008F7036" w:rsidP="001672B4">
            <w:pPr>
              <w:jc w:val="center"/>
              <w:rPr>
                <w:sz w:val="22"/>
              </w:rPr>
            </w:pPr>
            <w:r>
              <w:rPr>
                <w:sz w:val="22"/>
              </w:rPr>
              <w:t>Item Code</w:t>
            </w:r>
          </w:p>
        </w:tc>
        <w:tc>
          <w:tcPr>
            <w:tcW w:w="1260" w:type="dxa"/>
          </w:tcPr>
          <w:p w14:paraId="20EA91AA" w14:textId="77777777" w:rsidR="008F7036" w:rsidRDefault="008F7036" w:rsidP="001672B4">
            <w:pPr>
              <w:rPr>
                <w:sz w:val="22"/>
              </w:rPr>
            </w:pPr>
            <w:r>
              <w:rPr>
                <w:sz w:val="22"/>
              </w:rPr>
              <w:t>Quantity</w:t>
            </w:r>
          </w:p>
        </w:tc>
        <w:tc>
          <w:tcPr>
            <w:tcW w:w="2160" w:type="dxa"/>
          </w:tcPr>
          <w:p w14:paraId="61E2FA27" w14:textId="77777777" w:rsidR="008F7036" w:rsidRDefault="008F7036" w:rsidP="001672B4">
            <w:pPr>
              <w:rPr>
                <w:sz w:val="22"/>
              </w:rPr>
            </w:pPr>
            <w:r>
              <w:rPr>
                <w:sz w:val="22"/>
              </w:rPr>
              <w:t>Specification</w:t>
            </w:r>
          </w:p>
        </w:tc>
      </w:tr>
      <w:tr w:rsidR="008F7036" w14:paraId="04FA5993" w14:textId="77777777" w:rsidTr="001672B4">
        <w:tc>
          <w:tcPr>
            <w:tcW w:w="570" w:type="dxa"/>
          </w:tcPr>
          <w:p w14:paraId="2C006768" w14:textId="77777777" w:rsidR="008F7036" w:rsidRDefault="008F7036" w:rsidP="001672B4">
            <w:pPr>
              <w:jc w:val="center"/>
              <w:rPr>
                <w:sz w:val="22"/>
              </w:rPr>
            </w:pPr>
            <w:r>
              <w:rPr>
                <w:sz w:val="22"/>
              </w:rPr>
              <w:t>1.</w:t>
            </w:r>
          </w:p>
        </w:tc>
        <w:tc>
          <w:tcPr>
            <w:tcW w:w="3295" w:type="dxa"/>
          </w:tcPr>
          <w:p w14:paraId="268BD527" w14:textId="77777777" w:rsidR="008F7036" w:rsidRDefault="008F7036" w:rsidP="001672B4">
            <w:pPr>
              <w:rPr>
                <w:b/>
                <w:sz w:val="22"/>
              </w:rPr>
            </w:pPr>
            <w:r>
              <w:rPr>
                <w:sz w:val="22"/>
              </w:rPr>
              <w:t>Solar Plant</w:t>
            </w:r>
          </w:p>
        </w:tc>
        <w:tc>
          <w:tcPr>
            <w:tcW w:w="1710" w:type="dxa"/>
          </w:tcPr>
          <w:p w14:paraId="5D7D00DF" w14:textId="77777777" w:rsidR="008F7036" w:rsidRDefault="008F7036" w:rsidP="001672B4">
            <w:pPr>
              <w:rPr>
                <w:b/>
                <w:sz w:val="22"/>
              </w:rPr>
            </w:pPr>
            <w:r>
              <w:rPr>
                <w:b/>
                <w:sz w:val="22"/>
              </w:rPr>
              <w:t>D3510</w:t>
            </w:r>
          </w:p>
        </w:tc>
        <w:tc>
          <w:tcPr>
            <w:tcW w:w="1260" w:type="dxa"/>
          </w:tcPr>
          <w:p w14:paraId="1F9764B3" w14:textId="77777777" w:rsidR="008F7036" w:rsidRDefault="008F7036" w:rsidP="001672B4">
            <w:pPr>
              <w:rPr>
                <w:b/>
                <w:sz w:val="22"/>
              </w:rPr>
            </w:pPr>
            <w:r>
              <w:rPr>
                <w:b/>
                <w:sz w:val="22"/>
              </w:rPr>
              <w:t>1</w:t>
            </w:r>
          </w:p>
        </w:tc>
        <w:tc>
          <w:tcPr>
            <w:tcW w:w="2160" w:type="dxa"/>
          </w:tcPr>
          <w:p w14:paraId="0DFED9E8" w14:textId="77777777" w:rsidR="008F7036" w:rsidRDefault="008F7036" w:rsidP="001672B4">
            <w:pPr>
              <w:rPr>
                <w:b/>
              </w:rPr>
            </w:pPr>
            <w:r>
              <w:rPr>
                <w:b/>
              </w:rPr>
              <w:t>As Stipulated in the Bidding Document</w:t>
            </w:r>
          </w:p>
        </w:tc>
      </w:tr>
    </w:tbl>
    <w:p w14:paraId="134B0A09" w14:textId="77777777" w:rsidR="008F7036" w:rsidRDefault="008F7036" w:rsidP="008F7036">
      <w:pPr>
        <w:numPr>
          <w:ilvl w:val="0"/>
          <w:numId w:val="2"/>
        </w:numPr>
        <w:jc w:val="both"/>
        <w:rPr>
          <w:sz w:val="22"/>
        </w:rPr>
      </w:pPr>
      <w:r>
        <w:rPr>
          <w:sz w:val="22"/>
        </w:rPr>
        <w:t>Detailed descriptions and specifications of Solar Plant items can be found in the Technical Specification section of the bidding document.</w:t>
      </w:r>
    </w:p>
    <w:p w14:paraId="40CCC67F" w14:textId="77777777" w:rsidR="008F7036" w:rsidRDefault="008F7036" w:rsidP="008F7036">
      <w:pPr>
        <w:ind w:left="1080"/>
        <w:jc w:val="both"/>
        <w:rPr>
          <w:sz w:val="22"/>
        </w:rPr>
      </w:pPr>
    </w:p>
    <w:p w14:paraId="0AE7DE11" w14:textId="77777777" w:rsidR="008F7036" w:rsidRDefault="008F7036" w:rsidP="008F7036">
      <w:pPr>
        <w:pStyle w:val="ListParagraph"/>
        <w:numPr>
          <w:ilvl w:val="0"/>
          <w:numId w:val="1"/>
        </w:numPr>
        <w:jc w:val="both"/>
        <w:rPr>
          <w:sz w:val="22"/>
        </w:rPr>
      </w:pPr>
      <w:r>
        <w:rPr>
          <w:b/>
          <w:sz w:val="22"/>
        </w:rPr>
        <w:t>Eligibility requirements include the following</w:t>
      </w:r>
      <w:r>
        <w:rPr>
          <w:sz w:val="22"/>
        </w:rPr>
        <w:t>:</w:t>
      </w:r>
    </w:p>
    <w:p w14:paraId="7C3EE32D" w14:textId="77777777" w:rsidR="008F7036" w:rsidRDefault="008F7036" w:rsidP="008F7036">
      <w:pPr>
        <w:numPr>
          <w:ilvl w:val="0"/>
          <w:numId w:val="3"/>
        </w:numPr>
        <w:jc w:val="both"/>
        <w:rPr>
          <w:sz w:val="22"/>
        </w:rPr>
      </w:pPr>
      <w:r>
        <w:rPr>
          <w:sz w:val="22"/>
        </w:rPr>
        <w:t>Current Business Registration and Valid Tax Clearance Certificate</w:t>
      </w:r>
    </w:p>
    <w:p w14:paraId="139E2D9C" w14:textId="77777777" w:rsidR="008F7036" w:rsidRDefault="008F7036" w:rsidP="008F7036">
      <w:pPr>
        <w:numPr>
          <w:ilvl w:val="0"/>
          <w:numId w:val="3"/>
        </w:numPr>
        <w:jc w:val="both"/>
        <w:rPr>
          <w:sz w:val="22"/>
        </w:rPr>
      </w:pPr>
      <w:r>
        <w:rPr>
          <w:sz w:val="22"/>
        </w:rPr>
        <w:t>Articles of Incorporation, where applicable</w:t>
      </w:r>
    </w:p>
    <w:p w14:paraId="364881AE" w14:textId="77777777" w:rsidR="008F7036" w:rsidRDefault="008F7036" w:rsidP="008F7036">
      <w:pPr>
        <w:numPr>
          <w:ilvl w:val="0"/>
          <w:numId w:val="3"/>
        </w:numPr>
        <w:jc w:val="both"/>
        <w:rPr>
          <w:sz w:val="22"/>
        </w:rPr>
      </w:pPr>
      <w:r>
        <w:rPr>
          <w:sz w:val="22"/>
        </w:rPr>
        <w:t>Bid Security from reputable bank</w:t>
      </w:r>
    </w:p>
    <w:p w14:paraId="16A3B90B" w14:textId="77777777" w:rsidR="008F7036" w:rsidRDefault="008F7036" w:rsidP="008F7036">
      <w:pPr>
        <w:numPr>
          <w:ilvl w:val="0"/>
          <w:numId w:val="3"/>
        </w:numPr>
        <w:jc w:val="both"/>
        <w:rPr>
          <w:sz w:val="22"/>
        </w:rPr>
      </w:pPr>
      <w:r>
        <w:rPr>
          <w:sz w:val="22"/>
        </w:rPr>
        <w:t>Company’s profile</w:t>
      </w:r>
    </w:p>
    <w:p w14:paraId="21FEA3C1" w14:textId="77777777" w:rsidR="008F7036" w:rsidRDefault="008F7036" w:rsidP="008F7036">
      <w:pPr>
        <w:numPr>
          <w:ilvl w:val="0"/>
          <w:numId w:val="3"/>
        </w:numPr>
        <w:jc w:val="both"/>
        <w:rPr>
          <w:sz w:val="22"/>
        </w:rPr>
      </w:pPr>
      <w:r>
        <w:rPr>
          <w:sz w:val="22"/>
        </w:rPr>
        <w:t>Provision of at least three (3) references of similar contract implemented with contact details</w:t>
      </w:r>
    </w:p>
    <w:p w14:paraId="40DCE4E7" w14:textId="77777777" w:rsidR="008F7036" w:rsidRDefault="008F7036" w:rsidP="008F7036">
      <w:pPr>
        <w:numPr>
          <w:ilvl w:val="0"/>
          <w:numId w:val="3"/>
        </w:numPr>
        <w:jc w:val="both"/>
        <w:rPr>
          <w:sz w:val="22"/>
        </w:rPr>
      </w:pPr>
      <w:r>
        <w:rPr>
          <w:sz w:val="22"/>
        </w:rPr>
        <w:t>Valid PPCC vendor’s Registration Certificate</w:t>
      </w:r>
    </w:p>
    <w:p w14:paraId="754637D3" w14:textId="77777777" w:rsidR="008F7036" w:rsidRDefault="008F7036" w:rsidP="008F703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 w:val="22"/>
        </w:rPr>
      </w:pPr>
      <w:r>
        <w:rPr>
          <w:sz w:val="22"/>
        </w:rPr>
        <w:t xml:space="preserve"> </w:t>
      </w:r>
    </w:p>
    <w:p w14:paraId="21D8858D" w14:textId="77777777" w:rsidR="008F7036" w:rsidRDefault="008F7036" w:rsidP="008F7036">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 w:val="22"/>
        </w:rPr>
      </w:pPr>
      <w:r>
        <w:rPr>
          <w:spacing w:val="-2"/>
          <w:sz w:val="22"/>
        </w:rPr>
        <w:t>Interested eligible bidders can obtain a complete set of bidding document for US$75.00 from the Procurement Unit, on the main campus of the Booker Washington Institute beginning Friday, May 1, 2026, to Friday, May 22, 2026 from 9:00 AM to 4:00 PM, Monday to Friday.</w:t>
      </w:r>
    </w:p>
    <w:p w14:paraId="0A883B48" w14:textId="77777777" w:rsidR="008F7036" w:rsidRDefault="008F7036" w:rsidP="008F703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 w:val="22"/>
        </w:rPr>
      </w:pPr>
    </w:p>
    <w:p w14:paraId="2756F075" w14:textId="77777777" w:rsidR="008F7036" w:rsidRDefault="008F7036" w:rsidP="008F7036">
      <w:pPr>
        <w:pStyle w:val="ListParagraph"/>
        <w:numPr>
          <w:ilvl w:val="0"/>
          <w:numId w:val="1"/>
        </w:numPr>
        <w:jc w:val="both"/>
        <w:rPr>
          <w:vanish/>
          <w:sz w:val="18"/>
          <w:szCs w:val="19"/>
        </w:rPr>
      </w:pPr>
      <w:r>
        <w:rPr>
          <w:sz w:val="22"/>
        </w:rPr>
        <w:t>All bids must be delivered to the Procurement Unit not later than day May 22, 20</w:t>
      </w:r>
    </w:p>
    <w:p w14:paraId="4D536DED" w14:textId="77777777" w:rsidR="008F7036" w:rsidRDefault="008F7036" w:rsidP="008F7036">
      <w:pPr>
        <w:pStyle w:val="ListParagraph"/>
        <w:numPr>
          <w:ilvl w:val="0"/>
          <w:numId w:val="5"/>
        </w:numPr>
        <w:jc w:val="both"/>
        <w:rPr>
          <w:sz w:val="22"/>
        </w:rPr>
      </w:pPr>
      <w:r>
        <w:rPr>
          <w:sz w:val="22"/>
        </w:rPr>
        <w:t xml:space="preserve">26 1:00 P.M. </w:t>
      </w:r>
    </w:p>
    <w:p w14:paraId="14AD0A7F" w14:textId="77777777" w:rsidR="008F7036" w:rsidRDefault="008F7036" w:rsidP="008F7036">
      <w:pPr>
        <w:pStyle w:val="ListParagraph"/>
        <w:jc w:val="both"/>
        <w:rPr>
          <w:vanish/>
          <w:sz w:val="18"/>
          <w:szCs w:val="19"/>
        </w:rPr>
      </w:pPr>
    </w:p>
    <w:p w14:paraId="4D78651B" w14:textId="77777777" w:rsidR="008F7036" w:rsidRDefault="008F7036" w:rsidP="008F7036">
      <w:pPr>
        <w:jc w:val="both"/>
        <w:rPr>
          <w:sz w:val="22"/>
        </w:rPr>
      </w:pPr>
    </w:p>
    <w:p w14:paraId="1ECB94C7" w14:textId="77777777" w:rsidR="008F7036" w:rsidRDefault="008F7036" w:rsidP="008F7036">
      <w:pPr>
        <w:pStyle w:val="ListParagraph"/>
        <w:numPr>
          <w:ilvl w:val="0"/>
          <w:numId w:val="1"/>
        </w:numPr>
        <w:jc w:val="both"/>
        <w:rPr>
          <w:i/>
          <w:iCs/>
          <w:vanish/>
          <w:sz w:val="18"/>
          <w:szCs w:val="19"/>
        </w:rPr>
      </w:pPr>
      <w:r>
        <w:rPr>
          <w:sz w:val="22"/>
        </w:rPr>
        <w:t xml:space="preserve">Bids shall be valid for a period of 60 days </w:t>
      </w:r>
    </w:p>
    <w:p w14:paraId="03175337" w14:textId="77777777" w:rsidR="008F7036" w:rsidRDefault="008F7036" w:rsidP="008F7036">
      <w:pPr>
        <w:ind w:left="720"/>
        <w:jc w:val="both"/>
        <w:rPr>
          <w:sz w:val="22"/>
        </w:rPr>
      </w:pPr>
      <w:r>
        <w:rPr>
          <w:sz w:val="22"/>
        </w:rPr>
        <w:t>after the deadline of Tender submission. Additionally, all bids must be sealed and accompanied by a Bid Security of US$550.00 from a reputable bank.</w:t>
      </w:r>
    </w:p>
    <w:p w14:paraId="30E00BF2" w14:textId="77777777" w:rsidR="008F7036" w:rsidRDefault="008F7036" w:rsidP="008F7036">
      <w:pPr>
        <w:ind w:left="720"/>
        <w:jc w:val="both"/>
        <w:rPr>
          <w:sz w:val="22"/>
        </w:rPr>
      </w:pPr>
    </w:p>
    <w:p w14:paraId="1E3707C7" w14:textId="77777777" w:rsidR="008F7036" w:rsidRDefault="008F7036" w:rsidP="008F7036">
      <w:pPr>
        <w:pStyle w:val="ListParagraph"/>
        <w:numPr>
          <w:ilvl w:val="0"/>
          <w:numId w:val="4"/>
        </w:numPr>
        <w:jc w:val="both"/>
        <w:rPr>
          <w:vanish/>
          <w:sz w:val="18"/>
          <w:szCs w:val="19"/>
        </w:rPr>
      </w:pPr>
      <w:r>
        <w:rPr>
          <w:sz w:val="22"/>
        </w:rPr>
        <w:t xml:space="preserve">Late Tenders will be </w:t>
      </w:r>
    </w:p>
    <w:p w14:paraId="40322500" w14:textId="77777777" w:rsidR="008F7036" w:rsidRDefault="008F7036" w:rsidP="008F7036">
      <w:pPr>
        <w:pStyle w:val="ListParagraph"/>
        <w:numPr>
          <w:ilvl w:val="0"/>
          <w:numId w:val="4"/>
        </w:numPr>
        <w:rPr>
          <w:sz w:val="22"/>
        </w:rPr>
      </w:pPr>
      <w:r>
        <w:rPr>
          <w:sz w:val="22"/>
        </w:rPr>
        <w:t>rejected and returned unopened immediately.</w:t>
      </w:r>
      <w:r>
        <w:rPr>
          <w:sz w:val="28"/>
        </w:rPr>
        <w:t xml:space="preserve"> </w:t>
      </w:r>
      <w:r>
        <w:rPr>
          <w:sz w:val="22"/>
        </w:rPr>
        <w:t>Absolutely, no electronic Bid(s) will be accepted</w:t>
      </w:r>
    </w:p>
    <w:p w14:paraId="5EC24452" w14:textId="77777777" w:rsidR="008F7036" w:rsidRDefault="008F7036" w:rsidP="008F7036">
      <w:pPr>
        <w:pStyle w:val="ListParagraph"/>
        <w:rPr>
          <w:sz w:val="22"/>
        </w:rPr>
      </w:pPr>
    </w:p>
    <w:p w14:paraId="5DC3D707" w14:textId="77777777" w:rsidR="008F7036" w:rsidRDefault="008F7036" w:rsidP="008F7036">
      <w:pPr>
        <w:pStyle w:val="ListParagraph"/>
        <w:rPr>
          <w:sz w:val="22"/>
        </w:rPr>
      </w:pPr>
      <w:r>
        <w:rPr>
          <w:sz w:val="22"/>
        </w:rPr>
        <w:t>Bids will be opened on the main Campus of the Booker Washington Institute in the Annex of the Library in the presence of bidders or their representatives who choose to attend on Friday, May 22, 2026 at 1:10 P.M.</w:t>
      </w:r>
    </w:p>
    <w:p w14:paraId="3D1D0E32" w14:textId="77777777" w:rsidR="008F7036" w:rsidRDefault="008F7036" w:rsidP="008F7036">
      <w:pPr>
        <w:ind w:left="360" w:hanging="360"/>
        <w:jc w:val="both"/>
        <w:rPr>
          <w:sz w:val="22"/>
        </w:rPr>
      </w:pPr>
    </w:p>
    <w:p w14:paraId="1EB66829" w14:textId="77777777" w:rsidR="008F7036" w:rsidRDefault="008F7036" w:rsidP="008F7036">
      <w:pPr>
        <w:jc w:val="both"/>
        <w:rPr>
          <w:sz w:val="22"/>
        </w:rPr>
      </w:pPr>
      <w:r>
        <w:rPr>
          <w:sz w:val="22"/>
        </w:rPr>
        <w:t xml:space="preserve">      </w:t>
      </w:r>
    </w:p>
    <w:p w14:paraId="56C6B81F" w14:textId="77777777" w:rsidR="008F7036" w:rsidRDefault="008F7036" w:rsidP="008F7036">
      <w:pPr>
        <w:jc w:val="both"/>
        <w:rPr>
          <w:sz w:val="22"/>
        </w:rPr>
      </w:pPr>
      <w:r>
        <w:rPr>
          <w:sz w:val="22"/>
        </w:rPr>
        <w:t xml:space="preserve">       Signed: _________________</w:t>
      </w:r>
    </w:p>
    <w:p w14:paraId="20926531" w14:textId="77777777" w:rsidR="008F7036" w:rsidRDefault="008F7036" w:rsidP="008F7036">
      <w:pPr>
        <w:ind w:left="360" w:hanging="360"/>
        <w:jc w:val="both"/>
        <w:rPr>
          <w:sz w:val="22"/>
        </w:rPr>
      </w:pPr>
      <w:r>
        <w:rPr>
          <w:sz w:val="22"/>
        </w:rPr>
        <w:t xml:space="preserve">                   Procurement Director</w:t>
      </w:r>
    </w:p>
    <w:p w14:paraId="04892321" w14:textId="77777777" w:rsidR="008F7036" w:rsidRDefault="008F7036"/>
    <w:sectPr w:rsidR="008F7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AFE59FA"/>
    <w:lvl w:ilvl="0" w:tplc="370E87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85E88E4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4"/>
    <w:multiLevelType w:val="hybridMultilevel"/>
    <w:tmpl w:val="BB96FFB0"/>
    <w:lvl w:ilvl="0" w:tplc="1414B9F0">
      <w:start w:val="8"/>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9"/>
    <w:multiLevelType w:val="hybridMultilevel"/>
    <w:tmpl w:val="64DA7DC6"/>
    <w:lvl w:ilvl="0" w:tplc="6EFE9C22">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A"/>
    <w:multiLevelType w:val="hybridMultilevel"/>
    <w:tmpl w:val="B4EA0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254047">
    <w:abstractNumId w:val="0"/>
  </w:num>
  <w:num w:numId="2" w16cid:durableId="1807044885">
    <w:abstractNumId w:val="1"/>
  </w:num>
  <w:num w:numId="3" w16cid:durableId="1197812756">
    <w:abstractNumId w:val="4"/>
  </w:num>
  <w:num w:numId="4" w16cid:durableId="1567910812">
    <w:abstractNumId w:val="2"/>
  </w:num>
  <w:num w:numId="5" w16cid:durableId="1822381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36"/>
    <w:rsid w:val="00124F0F"/>
    <w:rsid w:val="008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01FF"/>
  <w15:chartTrackingRefBased/>
  <w15:docId w15:val="{33EE4B16-E03D-4A60-84A9-34293CFE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7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0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0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0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0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0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0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0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0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0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0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0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0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036"/>
    <w:rPr>
      <w:rFonts w:eastAsiaTheme="majorEastAsia" w:cstheme="majorBidi"/>
      <w:color w:val="272727" w:themeColor="text1" w:themeTint="D8"/>
    </w:rPr>
  </w:style>
  <w:style w:type="paragraph" w:styleId="Title">
    <w:name w:val="Title"/>
    <w:basedOn w:val="Normal"/>
    <w:next w:val="Normal"/>
    <w:link w:val="TitleChar"/>
    <w:uiPriority w:val="10"/>
    <w:qFormat/>
    <w:rsid w:val="008F70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036"/>
    <w:pPr>
      <w:spacing w:before="160"/>
      <w:jc w:val="center"/>
    </w:pPr>
    <w:rPr>
      <w:i/>
      <w:iCs/>
      <w:color w:val="404040" w:themeColor="text1" w:themeTint="BF"/>
    </w:rPr>
  </w:style>
  <w:style w:type="character" w:customStyle="1" w:styleId="QuoteChar">
    <w:name w:val="Quote Char"/>
    <w:basedOn w:val="DefaultParagraphFont"/>
    <w:link w:val="Quote"/>
    <w:uiPriority w:val="29"/>
    <w:rsid w:val="008F7036"/>
    <w:rPr>
      <w:i/>
      <w:iCs/>
      <w:color w:val="404040" w:themeColor="text1" w:themeTint="BF"/>
    </w:rPr>
  </w:style>
  <w:style w:type="paragraph" w:styleId="ListParagraph">
    <w:name w:val="List Paragraph"/>
    <w:basedOn w:val="Normal"/>
    <w:uiPriority w:val="34"/>
    <w:qFormat/>
    <w:rsid w:val="008F7036"/>
    <w:pPr>
      <w:ind w:left="720"/>
      <w:contextualSpacing/>
    </w:pPr>
  </w:style>
  <w:style w:type="character" w:styleId="IntenseEmphasis">
    <w:name w:val="Intense Emphasis"/>
    <w:basedOn w:val="DefaultParagraphFont"/>
    <w:uiPriority w:val="21"/>
    <w:qFormat/>
    <w:rsid w:val="008F7036"/>
    <w:rPr>
      <w:i/>
      <w:iCs/>
      <w:color w:val="2F5496" w:themeColor="accent1" w:themeShade="BF"/>
    </w:rPr>
  </w:style>
  <w:style w:type="paragraph" w:styleId="IntenseQuote">
    <w:name w:val="Intense Quote"/>
    <w:basedOn w:val="Normal"/>
    <w:next w:val="Normal"/>
    <w:link w:val="IntenseQuoteChar"/>
    <w:uiPriority w:val="30"/>
    <w:qFormat/>
    <w:rsid w:val="008F7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036"/>
    <w:rPr>
      <w:i/>
      <w:iCs/>
      <w:color w:val="2F5496" w:themeColor="accent1" w:themeShade="BF"/>
    </w:rPr>
  </w:style>
  <w:style w:type="character" w:styleId="IntenseReference">
    <w:name w:val="Intense Reference"/>
    <w:basedOn w:val="DefaultParagraphFont"/>
    <w:uiPriority w:val="32"/>
    <w:qFormat/>
    <w:rsid w:val="008F7036"/>
    <w:rPr>
      <w:b/>
      <w:bCs/>
      <w:smallCaps/>
      <w:color w:val="2F5496" w:themeColor="accent1" w:themeShade="BF"/>
      <w:spacing w:val="5"/>
    </w:rPr>
  </w:style>
  <w:style w:type="table" w:styleId="TableGrid">
    <w:name w:val="Table Grid"/>
    <w:basedOn w:val="TableNormal"/>
    <w:uiPriority w:val="59"/>
    <w:rsid w:val="008F703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2026-05-01T20:50:00Z</dcterms:created>
  <dcterms:modified xsi:type="dcterms:W3CDTF">2026-05-01T20:51:00Z</dcterms:modified>
</cp:coreProperties>
</file>